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40.000 euro e inferiore a 150.000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40.000 euro e inferiore a 150.000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