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lcolo e stima entrate da sanzioni per formazione bilanc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lcolo e stima entrate da sanzioni per formazione bilanc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