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valutazione relative all'analisi dell'impatto della regolamentazione (AIR) ai sensi dell'art.14, comma 1, della legge 28 novembre 2005, n. 246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valutazione relative all'analisi dell'impatto della regolamentazione (AIR) ai sensi dell'art.14, comma 1, della legge 28 novembre 2005, n. 246.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