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e altri enti di diritto privato non di competenza del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e altri enti di diritto privato non di competenza del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