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superiore alle soglie di cui all'art. 35, D.Lgs. 50/2016 attraverso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superiore alle soglie di cui all'art. 35, D.Lgs. 50/2016 attraverso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